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68" w:rsidRPr="00234C68" w:rsidRDefault="00234C68" w:rsidP="00234C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234C68">
        <w:rPr>
          <w:rFonts w:ascii="Arial" w:eastAsia="Times New Roman" w:hAnsi="Arial" w:cs="Arial"/>
          <w:sz w:val="24"/>
          <w:szCs w:val="24"/>
          <w:lang w:eastAsia="it-IT"/>
        </w:rPr>
        <w:t>TITOLO VI</w:t>
      </w:r>
    </w:p>
    <w:p w:rsidR="00234C68" w:rsidRPr="00234C68" w:rsidRDefault="00234C68" w:rsidP="00234C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234C68">
        <w:rPr>
          <w:rFonts w:ascii="Arial" w:eastAsia="Times New Roman" w:hAnsi="Arial" w:cs="Arial"/>
          <w:sz w:val="24"/>
          <w:szCs w:val="24"/>
          <w:lang w:eastAsia="it-IT"/>
        </w:rPr>
        <w:t>-</w:t>
      </w:r>
    </w:p>
    <w:p w:rsidR="00234C68" w:rsidRPr="00234C68" w:rsidRDefault="00234C68" w:rsidP="00234C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234C68">
        <w:rPr>
          <w:rFonts w:ascii="Arial" w:eastAsia="Times New Roman" w:hAnsi="Arial" w:cs="Arial"/>
          <w:sz w:val="24"/>
          <w:szCs w:val="24"/>
          <w:lang w:eastAsia="it-IT"/>
        </w:rPr>
        <w:t>RILEVAZIONE E DIMOSTRAZIONE</w:t>
      </w:r>
    </w:p>
    <w:p w:rsidR="00234C68" w:rsidRPr="00234C68" w:rsidRDefault="00234C68" w:rsidP="00234C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234C68">
        <w:rPr>
          <w:rFonts w:ascii="Arial" w:eastAsia="Times New Roman" w:hAnsi="Arial" w:cs="Arial"/>
          <w:sz w:val="24"/>
          <w:szCs w:val="24"/>
          <w:lang w:eastAsia="it-IT"/>
        </w:rPr>
        <w:t>DEI RISULTATI DI GESTIONE</w:t>
      </w:r>
    </w:p>
    <w:p w:rsidR="00234C68" w:rsidRPr="00234C68" w:rsidRDefault="00234C68" w:rsidP="00234C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234C68" w:rsidRPr="00234C68" w:rsidRDefault="00234C68" w:rsidP="00234C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234C68" w:rsidRPr="00234C68" w:rsidRDefault="00234C68" w:rsidP="00234C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234C68">
        <w:rPr>
          <w:rFonts w:ascii="Arial" w:eastAsia="Times New Roman" w:hAnsi="Arial" w:cs="Arial"/>
          <w:sz w:val="24"/>
          <w:szCs w:val="24"/>
          <w:lang w:eastAsia="it-IT"/>
        </w:rPr>
        <w:t>Articolo 227</w:t>
      </w:r>
    </w:p>
    <w:p w:rsidR="00234C68" w:rsidRPr="00234C68" w:rsidRDefault="00234C68" w:rsidP="00234C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234C68">
        <w:rPr>
          <w:rFonts w:ascii="Arial" w:eastAsia="Times New Roman" w:hAnsi="Arial" w:cs="Arial"/>
          <w:sz w:val="24"/>
          <w:szCs w:val="24"/>
          <w:lang w:eastAsia="it-IT"/>
        </w:rPr>
        <w:t>Rendiconto della gestione</w:t>
      </w:r>
    </w:p>
    <w:p w:rsidR="00234C68" w:rsidRPr="00234C68" w:rsidRDefault="00234C68" w:rsidP="00234C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234C68">
        <w:rPr>
          <w:rFonts w:ascii="Arial" w:eastAsia="Times New Roman" w:hAnsi="Arial" w:cs="Arial"/>
          <w:sz w:val="24"/>
          <w:szCs w:val="24"/>
          <w:lang w:eastAsia="it-IT"/>
        </w:rPr>
        <w:t>113</w:t>
      </w:r>
    </w:p>
    <w:p w:rsidR="00234C68" w:rsidRPr="00234C68" w:rsidRDefault="00234C68" w:rsidP="00234C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234C68">
        <w:rPr>
          <w:rFonts w:ascii="Arial" w:eastAsia="Times New Roman" w:hAnsi="Arial" w:cs="Arial"/>
          <w:sz w:val="24"/>
          <w:szCs w:val="24"/>
          <w:lang w:eastAsia="it-IT"/>
        </w:rPr>
        <w:t>114</w:t>
      </w:r>
    </w:p>
    <w:p w:rsidR="00234C68" w:rsidRP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34C68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234C68" w:rsidRP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End"/>
      <w:r w:rsidRPr="00234C68">
        <w:rPr>
          <w:rFonts w:ascii="Arial" w:eastAsia="Times New Roman" w:hAnsi="Arial" w:cs="Arial"/>
          <w:sz w:val="24"/>
          <w:szCs w:val="24"/>
          <w:lang w:eastAsia="it-IT"/>
        </w:rPr>
        <w:t>1.</w:t>
      </w:r>
      <w:proofErr w:type="gramStart"/>
      <w:r w:rsidRPr="00234C68">
        <w:rPr>
          <w:rFonts w:ascii="Arial" w:eastAsia="Times New Roman" w:hAnsi="Arial" w:cs="Arial"/>
          <w:sz w:val="24"/>
          <w:szCs w:val="24"/>
          <w:lang w:eastAsia="it-IT"/>
        </w:rPr>
        <w:t>La</w:t>
      </w:r>
      <w:proofErr w:type="gramEnd"/>
      <w:r w:rsidRPr="00234C68">
        <w:rPr>
          <w:rFonts w:ascii="Arial" w:eastAsia="Times New Roman" w:hAnsi="Arial" w:cs="Arial"/>
          <w:sz w:val="24"/>
          <w:szCs w:val="24"/>
          <w:lang w:eastAsia="it-IT"/>
        </w:rPr>
        <w:t xml:space="preserve"> dimostrazione dei risultati di gestione avviene mediante il rendiconto, il quale comprende il conto del bilancio, il conto economico ed il conto del patrimonio. </w:t>
      </w:r>
    </w:p>
    <w:p w:rsid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34C68" w:rsidRP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34C68">
        <w:rPr>
          <w:rFonts w:ascii="Arial" w:eastAsia="Times New Roman" w:hAnsi="Arial" w:cs="Arial"/>
          <w:sz w:val="24"/>
          <w:szCs w:val="24"/>
          <w:lang w:eastAsia="it-IT"/>
        </w:rPr>
        <w:t>2.</w:t>
      </w:r>
      <w:proofErr w:type="gramStart"/>
      <w:r w:rsidRPr="00234C68">
        <w:rPr>
          <w:rFonts w:ascii="Arial" w:eastAsia="Times New Roman" w:hAnsi="Arial" w:cs="Arial"/>
          <w:sz w:val="24"/>
          <w:szCs w:val="24"/>
          <w:lang w:eastAsia="it-IT"/>
        </w:rPr>
        <w:t>Il</w:t>
      </w:r>
      <w:proofErr w:type="gramEnd"/>
      <w:r w:rsidRPr="00234C68">
        <w:rPr>
          <w:rFonts w:ascii="Arial" w:eastAsia="Times New Roman" w:hAnsi="Arial" w:cs="Arial"/>
          <w:sz w:val="24"/>
          <w:szCs w:val="24"/>
          <w:lang w:eastAsia="it-IT"/>
        </w:rPr>
        <w:t xml:space="preserve"> rendiconto è deliberato dall’organo consiliare dell’ente entro il 30 aprile dell’anno successivo, tenuto motivatamente conto della relazione dell’organo di revisione. La proposta è messa a disposizione dei </w:t>
      </w:r>
      <w:proofErr w:type="gramStart"/>
      <w:r w:rsidRPr="00234C68">
        <w:rPr>
          <w:rFonts w:ascii="Arial" w:eastAsia="Times New Roman" w:hAnsi="Arial" w:cs="Arial"/>
          <w:sz w:val="24"/>
          <w:szCs w:val="24"/>
          <w:lang w:eastAsia="it-IT"/>
        </w:rPr>
        <w:t>componenti</w:t>
      </w:r>
      <w:proofErr w:type="gramEnd"/>
      <w:r w:rsidRPr="00234C68">
        <w:rPr>
          <w:rFonts w:ascii="Arial" w:eastAsia="Times New Roman" w:hAnsi="Arial" w:cs="Arial"/>
          <w:sz w:val="24"/>
          <w:szCs w:val="24"/>
          <w:lang w:eastAsia="it-IT"/>
        </w:rPr>
        <w:t xml:space="preserve"> dell’organo consiliare prima dell’inizio della sessione consiliare in cui viene esaminato il rendiconto entro un termine, non inferiore a venti giorni, stabilito dal regolamento. Il rendiconto deliberato è inviato all’organo regionale di controllo ai sensi e con le </w:t>
      </w:r>
      <w:proofErr w:type="gramStart"/>
      <w:r w:rsidRPr="00234C68">
        <w:rPr>
          <w:rFonts w:ascii="Arial" w:eastAsia="Times New Roman" w:hAnsi="Arial" w:cs="Arial"/>
          <w:sz w:val="24"/>
          <w:szCs w:val="24"/>
          <w:lang w:eastAsia="it-IT"/>
        </w:rPr>
        <w:t>modalità</w:t>
      </w:r>
      <w:proofErr w:type="gramEnd"/>
      <w:r w:rsidRPr="00234C68">
        <w:rPr>
          <w:rFonts w:ascii="Arial" w:eastAsia="Times New Roman" w:hAnsi="Arial" w:cs="Arial"/>
          <w:sz w:val="24"/>
          <w:szCs w:val="24"/>
          <w:lang w:eastAsia="it-IT"/>
        </w:rPr>
        <w:t xml:space="preserve"> di cui all’articolo 133 </w:t>
      </w:r>
    </w:p>
    <w:p w:rsidR="00234C68" w:rsidRP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34C68" w:rsidRP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34C68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2-bis. In caso di mancata approvazione del rendiconto di gestione entro il termine del 30 aprile dell’anno successivo, si applica la procedura prevista dal comma </w:t>
      </w:r>
      <w:proofErr w:type="gramStart"/>
      <w:r w:rsidRPr="00234C68">
        <w:rPr>
          <w:rFonts w:ascii="Arial" w:eastAsia="Times New Roman" w:hAnsi="Arial" w:cs="Arial"/>
          <w:b/>
          <w:sz w:val="24"/>
          <w:szCs w:val="24"/>
          <w:lang w:eastAsia="it-IT"/>
        </w:rPr>
        <w:t>2</w:t>
      </w:r>
      <w:proofErr w:type="gramEnd"/>
      <w:r w:rsidRPr="00234C68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dell’articolo 141</w:t>
      </w:r>
    </w:p>
    <w:p w:rsidR="00234C68" w:rsidRP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34C68">
        <w:rPr>
          <w:rFonts w:ascii="Arial" w:eastAsia="Times New Roman" w:hAnsi="Arial" w:cs="Arial"/>
          <w:b/>
          <w:sz w:val="24"/>
          <w:szCs w:val="24"/>
          <w:lang w:eastAsia="it-IT"/>
        </w:rPr>
        <w:t>115</w:t>
      </w:r>
      <w:bookmarkStart w:id="0" w:name="_GoBack"/>
      <w:bookmarkEnd w:id="0"/>
    </w:p>
    <w:p w:rsidR="00234C68" w:rsidRP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34C68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234C68" w:rsidRP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End"/>
      <w:r w:rsidRPr="00234C68">
        <w:rPr>
          <w:rFonts w:ascii="Arial" w:eastAsia="Times New Roman" w:hAnsi="Arial" w:cs="Arial"/>
          <w:sz w:val="24"/>
          <w:szCs w:val="24"/>
          <w:lang w:eastAsia="it-IT"/>
        </w:rPr>
        <w:t>3.</w:t>
      </w:r>
      <w:proofErr w:type="gramStart"/>
      <w:r w:rsidRPr="00234C68">
        <w:rPr>
          <w:rFonts w:ascii="Arial" w:eastAsia="Times New Roman" w:hAnsi="Arial" w:cs="Arial"/>
          <w:sz w:val="24"/>
          <w:szCs w:val="24"/>
          <w:lang w:eastAsia="it-IT"/>
        </w:rPr>
        <w:t>Per</w:t>
      </w:r>
      <w:proofErr w:type="gramEnd"/>
      <w:r w:rsidRPr="00234C68">
        <w:rPr>
          <w:rFonts w:ascii="Arial" w:eastAsia="Times New Roman" w:hAnsi="Arial" w:cs="Arial"/>
          <w:sz w:val="24"/>
          <w:szCs w:val="24"/>
          <w:lang w:eastAsia="it-IT"/>
        </w:rPr>
        <w:t xml:space="preserve"> le province, le città metropolitane, i comuni con popolazione superiore ad 8.000 abitanti e quelli i cui rendiconti si chiudono in disavanzo ovvero rechino la indicazione di debiti fuori bilancio, il rendiconto è presentato alla Sezione Enti locali della Corte dei conti per il referto di cui all’articolo 13 del decreto-legge 22 </w:t>
      </w:r>
    </w:p>
    <w:p w:rsidR="00234C68" w:rsidRP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34C68">
        <w:rPr>
          <w:rFonts w:ascii="Arial" w:eastAsia="Times New Roman" w:hAnsi="Arial" w:cs="Arial"/>
          <w:sz w:val="24"/>
          <w:szCs w:val="24"/>
          <w:lang w:eastAsia="it-IT"/>
        </w:rPr>
        <w:t xml:space="preserve">dicembre 1981, n. 786, convertito, con modificazioni, dalla legge 26 febbraio 1982, n. 51, e successive modifiche </w:t>
      </w:r>
      <w:proofErr w:type="gramStart"/>
      <w:r w:rsidRPr="00234C68">
        <w:rPr>
          <w:rFonts w:ascii="Arial" w:eastAsia="Times New Roman" w:hAnsi="Arial" w:cs="Arial"/>
          <w:sz w:val="24"/>
          <w:szCs w:val="24"/>
          <w:lang w:eastAsia="it-IT"/>
        </w:rPr>
        <w:t>ed</w:t>
      </w:r>
      <w:proofErr w:type="gramEnd"/>
      <w:r w:rsidRPr="00234C68">
        <w:rPr>
          <w:rFonts w:ascii="Arial" w:eastAsia="Times New Roman" w:hAnsi="Arial" w:cs="Arial"/>
          <w:sz w:val="24"/>
          <w:szCs w:val="24"/>
          <w:lang w:eastAsia="it-IT"/>
        </w:rPr>
        <w:t xml:space="preserve"> integrazioni. </w:t>
      </w:r>
    </w:p>
    <w:p w:rsid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34C68" w:rsidRP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34C68">
        <w:rPr>
          <w:rFonts w:ascii="Arial" w:eastAsia="Times New Roman" w:hAnsi="Arial" w:cs="Arial"/>
          <w:sz w:val="24"/>
          <w:szCs w:val="24"/>
          <w:lang w:eastAsia="it-IT"/>
        </w:rPr>
        <w:t>4.</w:t>
      </w:r>
      <w:proofErr w:type="gramStart"/>
      <w:r w:rsidRPr="00234C68">
        <w:rPr>
          <w:rFonts w:ascii="Arial" w:eastAsia="Times New Roman" w:hAnsi="Arial" w:cs="Arial"/>
          <w:sz w:val="24"/>
          <w:szCs w:val="24"/>
          <w:lang w:eastAsia="it-IT"/>
        </w:rPr>
        <w:t>Ai</w:t>
      </w:r>
      <w:proofErr w:type="gramEnd"/>
      <w:r w:rsidRPr="00234C68">
        <w:rPr>
          <w:rFonts w:ascii="Arial" w:eastAsia="Times New Roman" w:hAnsi="Arial" w:cs="Arial"/>
          <w:sz w:val="24"/>
          <w:szCs w:val="24"/>
          <w:lang w:eastAsia="it-IT"/>
        </w:rPr>
        <w:t xml:space="preserve"> fini del referto di cui all’articolo 3, commi 4 e 7, della legge 14 gennaio 1994, n. 20, e del consolidamento dei conti pubblici, la Sezione Enti locali potrà richiedere i rendiconti di tutti gli altri enti locali. </w:t>
      </w:r>
    </w:p>
    <w:p w:rsidR="00234C68" w:rsidRP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34C68" w:rsidRP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34C68">
        <w:rPr>
          <w:rFonts w:ascii="Arial" w:eastAsia="Times New Roman" w:hAnsi="Arial" w:cs="Arial"/>
          <w:sz w:val="24"/>
          <w:szCs w:val="24"/>
          <w:lang w:eastAsia="it-IT"/>
        </w:rPr>
        <w:t>5.</w:t>
      </w:r>
      <w:proofErr w:type="gramStart"/>
      <w:r w:rsidRPr="00234C68">
        <w:rPr>
          <w:rFonts w:ascii="Arial" w:eastAsia="Times New Roman" w:hAnsi="Arial" w:cs="Arial"/>
          <w:sz w:val="24"/>
          <w:szCs w:val="24"/>
          <w:lang w:eastAsia="it-IT"/>
        </w:rPr>
        <w:t>Sono</w:t>
      </w:r>
      <w:proofErr w:type="gramEnd"/>
      <w:r w:rsidRPr="00234C68">
        <w:rPr>
          <w:rFonts w:ascii="Arial" w:eastAsia="Times New Roman" w:hAnsi="Arial" w:cs="Arial"/>
          <w:sz w:val="24"/>
          <w:szCs w:val="24"/>
          <w:lang w:eastAsia="it-IT"/>
        </w:rPr>
        <w:t xml:space="preserve"> allegati al rendiconto: a) la relazione dell’organo esecutivo di cui all’articolo 151, comma 6; b) la relazione dei revisori dei conti di cui all’articolo 239, comma 1, lettera d); c) l’elenco dei residui attivi e passivi distinti per anno di provenienza. </w:t>
      </w:r>
    </w:p>
    <w:p w:rsidR="00234C68" w:rsidRP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34C68" w:rsidRPr="00234C68" w:rsidRDefault="00234C68" w:rsidP="00234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34C68">
        <w:rPr>
          <w:rFonts w:ascii="Arial" w:eastAsia="Times New Roman" w:hAnsi="Arial" w:cs="Arial"/>
          <w:sz w:val="24"/>
          <w:szCs w:val="24"/>
          <w:lang w:eastAsia="it-IT"/>
        </w:rPr>
        <w:t>6.</w:t>
      </w:r>
      <w:proofErr w:type="gramStart"/>
      <w:r w:rsidRPr="00234C68">
        <w:rPr>
          <w:rFonts w:ascii="Arial" w:eastAsia="Times New Roman" w:hAnsi="Arial" w:cs="Arial"/>
          <w:sz w:val="24"/>
          <w:szCs w:val="24"/>
          <w:lang w:eastAsia="it-IT"/>
        </w:rPr>
        <w:t>Gli</w:t>
      </w:r>
      <w:proofErr w:type="gramEnd"/>
      <w:r w:rsidRPr="00234C68">
        <w:rPr>
          <w:rFonts w:ascii="Arial" w:eastAsia="Times New Roman" w:hAnsi="Arial" w:cs="Arial"/>
          <w:sz w:val="24"/>
          <w:szCs w:val="24"/>
          <w:lang w:eastAsia="it-IT"/>
        </w:rPr>
        <w:t xml:space="preserve"> enti locali di cui all’articolo 2 inviano telematicamente alle Sezioni enti locali il rendiconto completo di allegati, le informazioni relative al rispetto del patto di stabilità interno, nonché i certificati del conto preventivo e consuntivo. Tempi, </w:t>
      </w:r>
      <w:proofErr w:type="gramStart"/>
      <w:r w:rsidRPr="00234C68">
        <w:rPr>
          <w:rFonts w:ascii="Arial" w:eastAsia="Times New Roman" w:hAnsi="Arial" w:cs="Arial"/>
          <w:sz w:val="24"/>
          <w:szCs w:val="24"/>
          <w:lang w:eastAsia="it-IT"/>
        </w:rPr>
        <w:t>modalità</w:t>
      </w:r>
      <w:proofErr w:type="gramEnd"/>
      <w:r w:rsidRPr="00234C68">
        <w:rPr>
          <w:rFonts w:ascii="Arial" w:eastAsia="Times New Roman" w:hAnsi="Arial" w:cs="Arial"/>
          <w:sz w:val="24"/>
          <w:szCs w:val="24"/>
          <w:lang w:eastAsia="it-IT"/>
        </w:rPr>
        <w:t xml:space="preserve"> e protocollo di comunicazione per la trasmissione telematica dei dati sono stabiliti con decreto di natura non regolamentare del Ministro dell’interno, di concerto con il Ministro dell’economia e delle finanze, sentite la Conferenza Stato, città e autonomie locali e la Corte dei conti. </w:t>
      </w:r>
    </w:p>
    <w:p w:rsidR="002B1170" w:rsidRPr="00234C68" w:rsidRDefault="002B1170" w:rsidP="00234C68">
      <w:pPr>
        <w:jc w:val="both"/>
        <w:rPr>
          <w:sz w:val="24"/>
          <w:szCs w:val="24"/>
        </w:rPr>
      </w:pPr>
    </w:p>
    <w:sectPr w:rsidR="002B1170" w:rsidRPr="00234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68"/>
    <w:rsid w:val="00234C68"/>
    <w:rsid w:val="002B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2015-07-31T09:05:00Z</dcterms:created>
  <dcterms:modified xsi:type="dcterms:W3CDTF">2015-07-31T09:12:00Z</dcterms:modified>
</cp:coreProperties>
</file>